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FF3" w14:textId="3AAC0DFF" w:rsidR="00697F83" w:rsidRPr="00B8333C" w:rsidRDefault="00854E98" w:rsidP="009A1C0A">
      <w:pPr>
        <w:pStyle w:val="Heading2"/>
        <w:ind w:left="-142"/>
        <w:rPr>
          <w:rFonts w:ascii="Calibri" w:hAnsi="Calibri" w:cs="Calibri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9CA56" wp14:editId="74A151B9">
            <wp:simplePos x="0" y="0"/>
            <wp:positionH relativeFrom="margin">
              <wp:posOffset>9749807</wp:posOffset>
            </wp:positionH>
            <wp:positionV relativeFrom="margin">
              <wp:posOffset>-486410</wp:posOffset>
            </wp:positionV>
            <wp:extent cx="335915" cy="334010"/>
            <wp:effectExtent l="0" t="0" r="6985" b="8890"/>
            <wp:wrapSquare wrapText="bothSides"/>
            <wp:docPr id="1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C0A">
        <w:rPr>
          <w:rFonts w:ascii="Calibri" w:hAnsi="Calibri" w:cs="Calibri"/>
          <w:sz w:val="40"/>
        </w:rPr>
        <w:t>ISO 27001</w:t>
      </w:r>
      <w:r w:rsidR="00C44834">
        <w:rPr>
          <w:rFonts w:ascii="Calibri" w:hAnsi="Calibri" w:cs="Calibri"/>
          <w:sz w:val="40"/>
        </w:rPr>
        <w:t>:</w:t>
      </w:r>
      <w:r w:rsidR="00834BFE">
        <w:rPr>
          <w:rFonts w:ascii="Calibri" w:hAnsi="Calibri" w:cs="Calibri"/>
          <w:sz w:val="40"/>
        </w:rPr>
        <w:t xml:space="preserve">2022 </w:t>
      </w:r>
      <w:r w:rsidR="009A1C0A">
        <w:rPr>
          <w:rFonts w:ascii="Calibri" w:hAnsi="Calibri" w:cs="Calibri"/>
          <w:sz w:val="40"/>
        </w:rPr>
        <w:t xml:space="preserve">Documentation </w:t>
      </w:r>
    </w:p>
    <w:p w14:paraId="4BFF4816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997" w:type="dxa"/>
        <w:tblInd w:w="-1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894"/>
        <w:gridCol w:w="5103"/>
      </w:tblGrid>
      <w:tr w:rsidR="00334E98" w:rsidRPr="00B8333C" w14:paraId="2F764931" w14:textId="77777777" w:rsidTr="009A1C0A">
        <w:trPr>
          <w:trHeight w:val="411"/>
        </w:trPr>
        <w:tc>
          <w:tcPr>
            <w:tcW w:w="1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2BF" w14:textId="497A7696" w:rsidR="00334E98" w:rsidRPr="00B8333C" w:rsidRDefault="00334E98" w:rsidP="0083392A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Scope (Activity / Area Audited):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83392A">
              <w:rPr>
                <w:rFonts w:cs="Calibri"/>
              </w:rPr>
              <w:t xml:space="preserve">ISO 27001 </w:t>
            </w:r>
            <w:r w:rsidR="00C44834">
              <w:rPr>
                <w:rFonts w:cs="Calibri"/>
              </w:rPr>
              <w:t>Requirements</w:t>
            </w:r>
          </w:p>
        </w:tc>
      </w:tr>
      <w:tr w:rsidR="00AA3C80" w:rsidRPr="00B8333C" w14:paraId="7EDECABF" w14:textId="77777777" w:rsidTr="009A1C0A">
        <w:trPr>
          <w:trHeight w:val="411"/>
        </w:trPr>
        <w:tc>
          <w:tcPr>
            <w:tcW w:w="1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24B" w14:textId="255B84BD" w:rsidR="00AA3C80" w:rsidRPr="00B8333C" w:rsidRDefault="00AA3C80" w:rsidP="0083392A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83392A">
              <w:rPr>
                <w:rFonts w:cs="Calibri"/>
              </w:rPr>
              <w:t>ISO 27001:20</w:t>
            </w:r>
            <w:r w:rsidR="00EC40DD">
              <w:rPr>
                <w:rFonts w:cs="Calibri"/>
              </w:rPr>
              <w:t>22</w:t>
            </w:r>
            <w:r w:rsidR="0083392A">
              <w:rPr>
                <w:rFonts w:cs="Calibri"/>
              </w:rPr>
              <w:t xml:space="preserve"> Documentation requirements</w:t>
            </w:r>
          </w:p>
        </w:tc>
      </w:tr>
      <w:tr w:rsidR="00697F83" w:rsidRPr="00B8333C" w14:paraId="2DF97B0F" w14:textId="77777777" w:rsidTr="009A1C0A">
        <w:trPr>
          <w:trHeight w:val="409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9FB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>(s</w:t>
            </w:r>
            <w:proofErr w:type="gramStart"/>
            <w:r w:rsidR="00CD0A64" w:rsidRPr="00B8333C">
              <w:rPr>
                <w:rFonts w:cs="Calibri"/>
                <w:b/>
              </w:rPr>
              <w:t xml:space="preserve">)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11D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proofErr w:type="gramStart"/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56F2BC4C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8371"/>
      </w:tblGrid>
      <w:tr w:rsidR="007F6884" w:rsidRPr="00B8333C" w14:paraId="44D8FE13" w14:textId="77777777" w:rsidTr="00F318AE">
        <w:trPr>
          <w:trHeight w:val="416"/>
          <w:tblHeader/>
          <w:jc w:val="center"/>
        </w:trPr>
        <w:tc>
          <w:tcPr>
            <w:tcW w:w="7083" w:type="dxa"/>
            <w:shd w:val="clear" w:color="auto" w:fill="D9D9D9"/>
            <w:vAlign w:val="center"/>
          </w:tcPr>
          <w:p w14:paraId="392EA53F" w14:textId="77777777" w:rsidR="007F6884" w:rsidRPr="00B8333C" w:rsidRDefault="007F6884" w:rsidP="007F6884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8371" w:type="dxa"/>
            <w:shd w:val="clear" w:color="auto" w:fill="D9D9D9"/>
            <w:vAlign w:val="center"/>
          </w:tcPr>
          <w:p w14:paraId="32B0D49B" w14:textId="77777777" w:rsidR="007F6884" w:rsidRPr="00B8333C" w:rsidRDefault="007F6884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7F6884" w:rsidRPr="00B8333C" w14:paraId="10FFB432" w14:textId="77777777" w:rsidTr="00F318AE">
        <w:trPr>
          <w:jc w:val="center"/>
        </w:trPr>
        <w:tc>
          <w:tcPr>
            <w:tcW w:w="7083" w:type="dxa"/>
          </w:tcPr>
          <w:p w14:paraId="5397E87B" w14:textId="77777777" w:rsidR="007F6884" w:rsidRPr="00506BA0" w:rsidRDefault="007F6884" w:rsidP="00F318AE">
            <w:pPr>
              <w:spacing w:line="480" w:lineRule="auto"/>
              <w:rPr>
                <w:b/>
              </w:rPr>
            </w:pPr>
            <w:r w:rsidRPr="00575C87">
              <w:rPr>
                <w:b/>
              </w:rPr>
              <w:t xml:space="preserve">Are </w:t>
            </w:r>
            <w:r w:rsidRPr="00506BA0">
              <w:rPr>
                <w:b/>
              </w:rPr>
              <w:t>all Mandatory Documents required for ISO 27001 in place?</w:t>
            </w:r>
          </w:p>
          <w:p w14:paraId="05BE9EC3" w14:textId="77777777" w:rsidR="007F6884" w:rsidRPr="00506BA0" w:rsidRDefault="007F6884" w:rsidP="00F318AE">
            <w:pPr>
              <w:spacing w:line="480" w:lineRule="auto"/>
            </w:pPr>
            <w:r w:rsidRPr="00506BA0">
              <w:t>1. Scope of the ISMS - 4.3</w:t>
            </w:r>
          </w:p>
          <w:p w14:paraId="7CDD5DC7" w14:textId="77777777" w:rsidR="007F6884" w:rsidRPr="00506BA0" w:rsidRDefault="007F6884" w:rsidP="00F318AE">
            <w:pPr>
              <w:spacing w:line="480" w:lineRule="auto"/>
            </w:pPr>
            <w:r w:rsidRPr="00506BA0">
              <w:t>2. Information security policy and objectives - 5.2, 6.2</w:t>
            </w:r>
          </w:p>
          <w:p w14:paraId="53638B4F" w14:textId="780B4DC1" w:rsidR="007F6884" w:rsidRPr="00506BA0" w:rsidRDefault="007F6884" w:rsidP="00F318AE">
            <w:pPr>
              <w:spacing w:line="480" w:lineRule="auto"/>
            </w:pPr>
            <w:r w:rsidRPr="00506BA0">
              <w:t>3. Risk assessment</w:t>
            </w:r>
            <w:r w:rsidR="00175B0A">
              <w:t xml:space="preserve"> process</w:t>
            </w:r>
            <w:r w:rsidRPr="00506BA0">
              <w:t xml:space="preserve"> and risk treatment methodology - 6.1.</w:t>
            </w:r>
            <w:r w:rsidR="00593F5A" w:rsidRPr="00506BA0">
              <w:t>3</w:t>
            </w:r>
          </w:p>
          <w:p w14:paraId="2CE444D2" w14:textId="77777777" w:rsidR="007F6884" w:rsidRPr="00506BA0" w:rsidRDefault="007F6884" w:rsidP="00F318AE">
            <w:pPr>
              <w:spacing w:line="480" w:lineRule="auto"/>
            </w:pPr>
            <w:r w:rsidRPr="00506BA0">
              <w:t>4. Statement of Applicability - 6.1.3 d)</w:t>
            </w:r>
          </w:p>
          <w:p w14:paraId="4C30EE13" w14:textId="6CCDB8C5" w:rsidR="007F6884" w:rsidRDefault="007F6884" w:rsidP="00F318AE">
            <w:pPr>
              <w:spacing w:line="480" w:lineRule="auto"/>
            </w:pPr>
            <w:r w:rsidRPr="00506BA0">
              <w:t>5. Risk treatment plan - 6.1.</w:t>
            </w:r>
            <w:r w:rsidRPr="00575C87">
              <w:t>3 e</w:t>
            </w:r>
            <w:r w:rsidR="00465023">
              <w:t>)</w:t>
            </w:r>
          </w:p>
          <w:p w14:paraId="7E21420A" w14:textId="42AAD41F" w:rsidR="00506BA0" w:rsidRDefault="00506BA0" w:rsidP="00F318AE">
            <w:pPr>
              <w:spacing w:line="480" w:lineRule="auto"/>
            </w:pPr>
            <w:r w:rsidRPr="00C67C65">
              <w:t>6.</w:t>
            </w:r>
            <w:r w:rsidR="00761468">
              <w:t xml:space="preserve"> </w:t>
            </w:r>
            <w:r w:rsidRPr="00C67C65">
              <w:t>Information security objectives - 6.2</w:t>
            </w:r>
          </w:p>
          <w:p w14:paraId="1EBB6EC9" w14:textId="3F1CC4F3" w:rsidR="00761468" w:rsidRPr="00C67C65" w:rsidRDefault="00761468" w:rsidP="00F318AE">
            <w:pPr>
              <w:spacing w:line="480" w:lineRule="auto"/>
            </w:pPr>
            <w:r>
              <w:t xml:space="preserve">7. Information regarding planned processes – 8.1 </w:t>
            </w:r>
          </w:p>
          <w:p w14:paraId="0C2A3B2D" w14:textId="2CCA8408" w:rsidR="007F6884" w:rsidRDefault="000B6136" w:rsidP="00F318AE">
            <w:pPr>
              <w:spacing w:line="480" w:lineRule="auto"/>
            </w:pPr>
            <w:r>
              <w:t>8</w:t>
            </w:r>
            <w:r w:rsidR="007F6884" w:rsidRPr="00C67C65">
              <w:t>. Risk assessment report - 8.2</w:t>
            </w:r>
          </w:p>
          <w:p w14:paraId="71951246" w14:textId="2E9888F2" w:rsidR="00761468" w:rsidRPr="00C67C65" w:rsidRDefault="000B6136" w:rsidP="00F318AE">
            <w:pPr>
              <w:spacing w:line="480" w:lineRule="auto"/>
            </w:pPr>
            <w:r>
              <w:t>9</w:t>
            </w:r>
            <w:r w:rsidR="00761468">
              <w:t>. Results of Risk Treatment – 8.3</w:t>
            </w:r>
          </w:p>
          <w:p w14:paraId="4B2CF2E1" w14:textId="20386047" w:rsidR="007F6884" w:rsidRPr="00C67C65" w:rsidRDefault="000B6136" w:rsidP="00F318AE">
            <w:pPr>
              <w:spacing w:line="480" w:lineRule="auto"/>
            </w:pPr>
            <w:r>
              <w:t>10</w:t>
            </w:r>
            <w:r w:rsidR="007F6884" w:rsidRPr="00C67C65">
              <w:t>. Definition of security roles and responsibilities - A.</w:t>
            </w:r>
            <w:r w:rsidR="00910BC7">
              <w:t xml:space="preserve">5.2 </w:t>
            </w:r>
          </w:p>
          <w:p w14:paraId="166E9129" w14:textId="0E4B176A" w:rsidR="007F6884" w:rsidRPr="00C67C65" w:rsidRDefault="000B6136" w:rsidP="00F318AE">
            <w:pPr>
              <w:spacing w:line="480" w:lineRule="auto"/>
            </w:pPr>
            <w:r>
              <w:t>11</w:t>
            </w:r>
            <w:r w:rsidR="007F6884" w:rsidRPr="00C67C65">
              <w:t>. Inventory of assets - A.</w:t>
            </w:r>
            <w:r w:rsidR="00910BC7">
              <w:t xml:space="preserve">5.9 </w:t>
            </w:r>
          </w:p>
          <w:p w14:paraId="2AC38931" w14:textId="03BCCF92" w:rsidR="007F6884" w:rsidRPr="00C67C65" w:rsidRDefault="006A17DB" w:rsidP="00F318AE">
            <w:pPr>
              <w:spacing w:line="480" w:lineRule="auto"/>
            </w:pPr>
            <w:r>
              <w:t>1</w:t>
            </w:r>
            <w:r w:rsidR="000B6136">
              <w:t>2</w:t>
            </w:r>
            <w:r w:rsidR="007F6884" w:rsidRPr="00C67C65">
              <w:t>. Acceptable use of assets - A.</w:t>
            </w:r>
            <w:r w:rsidR="00BD7854">
              <w:t>5.10</w:t>
            </w:r>
          </w:p>
          <w:p w14:paraId="3CF5C749" w14:textId="478E6168" w:rsidR="009033FD" w:rsidRDefault="00B65E67" w:rsidP="00F318AE">
            <w:pPr>
              <w:spacing w:line="480" w:lineRule="auto"/>
            </w:pPr>
            <w:r w:rsidRPr="00C67C65">
              <w:t>1</w:t>
            </w:r>
            <w:r w:rsidR="000B6136">
              <w:t>3</w:t>
            </w:r>
            <w:r w:rsidRPr="00C67C65">
              <w:t>.</w:t>
            </w:r>
            <w:r w:rsidR="000B6136">
              <w:t xml:space="preserve"> </w:t>
            </w:r>
            <w:r w:rsidR="00506BA0" w:rsidRPr="00C67C65">
              <w:t>Incident response procedure</w:t>
            </w:r>
            <w:r w:rsidR="00D11485">
              <w:t xml:space="preserve"> </w:t>
            </w:r>
            <w:r w:rsidR="00910BC7">
              <w:t>–</w:t>
            </w:r>
            <w:r w:rsidR="00D11485">
              <w:t xml:space="preserve"> </w:t>
            </w:r>
            <w:r w:rsidR="00910BC7">
              <w:t xml:space="preserve">A. </w:t>
            </w:r>
            <w:r w:rsidR="00506BA0" w:rsidRPr="00C67C65">
              <w:t>5.26</w:t>
            </w:r>
          </w:p>
          <w:p w14:paraId="00426BB2" w14:textId="43419F70" w:rsidR="009A5C90" w:rsidRPr="00C67C65" w:rsidRDefault="009A5C90" w:rsidP="00F318AE">
            <w:pPr>
              <w:spacing w:line="480" w:lineRule="auto"/>
            </w:pPr>
            <w:r>
              <w:t>1</w:t>
            </w:r>
            <w:r w:rsidR="000B6136">
              <w:t>4</w:t>
            </w:r>
            <w:r>
              <w:t>.</w:t>
            </w:r>
            <w:r w:rsidR="000B6136">
              <w:t xml:space="preserve"> </w:t>
            </w:r>
            <w:r>
              <w:t xml:space="preserve">Information Backup Policy – A 8.13 </w:t>
            </w:r>
          </w:p>
          <w:p w14:paraId="1C8F38D1" w14:textId="39B79231" w:rsidR="00B65E67" w:rsidRPr="00C67C65" w:rsidRDefault="00B65E67" w:rsidP="00F318AE">
            <w:pPr>
              <w:spacing w:line="480" w:lineRule="auto"/>
            </w:pPr>
            <w:r w:rsidRPr="00C67C65">
              <w:lastRenderedPageBreak/>
              <w:t>1</w:t>
            </w:r>
            <w:r w:rsidR="000B6136">
              <w:t>5</w:t>
            </w:r>
            <w:r w:rsidRPr="00C67C65">
              <w:t>. Access control policy - A.</w:t>
            </w:r>
            <w:r w:rsidR="00910BC7">
              <w:t>5.15</w:t>
            </w:r>
            <w:r w:rsidR="00F53449">
              <w:t>, A 8.5</w:t>
            </w:r>
          </w:p>
          <w:p w14:paraId="75B208CB" w14:textId="336B39C1" w:rsidR="007F6884" w:rsidRPr="00C67C65" w:rsidRDefault="007F6884" w:rsidP="00F318AE">
            <w:pPr>
              <w:spacing w:line="480" w:lineRule="auto"/>
            </w:pPr>
            <w:r w:rsidRPr="00C67C65">
              <w:t>1</w:t>
            </w:r>
            <w:r w:rsidR="000B6136">
              <w:t>6</w:t>
            </w:r>
            <w:r w:rsidRPr="00C67C65">
              <w:t>. Operating procedures for IT management - A.</w:t>
            </w:r>
            <w:r w:rsidR="00465023">
              <w:t>5.37</w:t>
            </w:r>
          </w:p>
          <w:p w14:paraId="420E2FF7" w14:textId="622BB15B" w:rsidR="00B65E67" w:rsidRPr="00C67C65" w:rsidRDefault="00B65E67" w:rsidP="00F318AE">
            <w:pPr>
              <w:spacing w:line="480" w:lineRule="auto"/>
            </w:pPr>
            <w:r w:rsidRPr="00C67C65">
              <w:t>1</w:t>
            </w:r>
            <w:r w:rsidR="000B6136">
              <w:t>7</w:t>
            </w:r>
            <w:r w:rsidRPr="00C67C65">
              <w:t>. Secure system engineering principles</w:t>
            </w:r>
            <w:r w:rsidR="00DF74DB">
              <w:t xml:space="preserve"> </w:t>
            </w:r>
            <w:r w:rsidR="007E43C1">
              <w:t>/</w:t>
            </w:r>
            <w:r w:rsidR="00DF74DB">
              <w:t xml:space="preserve"> </w:t>
            </w:r>
            <w:r w:rsidR="007E43C1">
              <w:t>architecture</w:t>
            </w:r>
            <w:r w:rsidRPr="00C67C65">
              <w:t xml:space="preserve"> - A.</w:t>
            </w:r>
            <w:r w:rsidR="00465023">
              <w:t>8.27</w:t>
            </w:r>
          </w:p>
          <w:p w14:paraId="024D4506" w14:textId="7A3A43A0" w:rsidR="00FD7A5F" w:rsidRPr="00C67C65" w:rsidRDefault="00FD7A5F" w:rsidP="00F318AE">
            <w:pPr>
              <w:spacing w:line="480" w:lineRule="auto"/>
            </w:pPr>
            <w:r w:rsidRPr="00C67C65">
              <w:t>1</w:t>
            </w:r>
            <w:r w:rsidR="000B6136">
              <w:t>8</w:t>
            </w:r>
            <w:r w:rsidRPr="00C67C65">
              <w:t xml:space="preserve">. </w:t>
            </w:r>
            <w:r w:rsidR="00DF74DB">
              <w:t>C</w:t>
            </w:r>
            <w:r w:rsidRPr="00C67C65">
              <w:t>onfiguration</w:t>
            </w:r>
            <w:r w:rsidR="00DF74DB">
              <w:t xml:space="preserve"> management details</w:t>
            </w:r>
            <w:r w:rsidR="00C44834">
              <w:t xml:space="preserve"> -</w:t>
            </w:r>
            <w:r w:rsidRPr="00C67C65">
              <w:t xml:space="preserve"> A.8.9</w:t>
            </w:r>
          </w:p>
          <w:p w14:paraId="4A085213" w14:textId="4DCACA29" w:rsidR="007F6884" w:rsidRPr="00C67C65" w:rsidRDefault="007F6884" w:rsidP="00F318AE">
            <w:pPr>
              <w:spacing w:line="480" w:lineRule="auto"/>
            </w:pPr>
            <w:r w:rsidRPr="00C67C65">
              <w:t>1</w:t>
            </w:r>
            <w:r w:rsidR="000B6136">
              <w:t>9</w:t>
            </w:r>
            <w:r w:rsidRPr="00C67C65">
              <w:t>. Supplier security p</w:t>
            </w:r>
            <w:r w:rsidR="007E43C1">
              <w:t>rocesses and procedures</w:t>
            </w:r>
            <w:r w:rsidRPr="00C67C65">
              <w:t xml:space="preserve"> - A.</w:t>
            </w:r>
            <w:r w:rsidR="007E43C1">
              <w:t>5.19</w:t>
            </w:r>
          </w:p>
          <w:p w14:paraId="3C418655" w14:textId="576FC00B" w:rsidR="007F6884" w:rsidRDefault="000B6136" w:rsidP="00F318AE">
            <w:pPr>
              <w:spacing w:line="480" w:lineRule="auto"/>
            </w:pPr>
            <w:r>
              <w:t>20</w:t>
            </w:r>
            <w:r w:rsidR="007F6884" w:rsidRPr="00C67C65">
              <w:t>. Incident management procedure - A.</w:t>
            </w:r>
            <w:r w:rsidR="007E43C1">
              <w:t>5.24</w:t>
            </w:r>
          </w:p>
          <w:p w14:paraId="38CB4624" w14:textId="5FA9B7BB" w:rsidR="007F6884" w:rsidRPr="00C67C65" w:rsidRDefault="000B6136" w:rsidP="00F318AE">
            <w:pPr>
              <w:spacing w:line="480" w:lineRule="auto"/>
            </w:pPr>
            <w:r>
              <w:t>21</w:t>
            </w:r>
            <w:r w:rsidR="007F6884" w:rsidRPr="00C67C65">
              <w:t xml:space="preserve">. Business continuity </w:t>
            </w:r>
            <w:r w:rsidR="007E43C1">
              <w:t>objectives</w:t>
            </w:r>
            <w:r w:rsidR="00DF74DB">
              <w:t xml:space="preserve"> and ICT continuity requirements</w:t>
            </w:r>
            <w:r w:rsidR="007F6884" w:rsidRPr="00C67C65">
              <w:t xml:space="preserve"> - A.</w:t>
            </w:r>
            <w:r w:rsidR="007E43C1">
              <w:t>5.30</w:t>
            </w:r>
          </w:p>
          <w:p w14:paraId="08322B17" w14:textId="6741CDC6" w:rsidR="007F6884" w:rsidRDefault="006A17DB" w:rsidP="00F318AE">
            <w:pPr>
              <w:spacing w:line="480" w:lineRule="auto"/>
            </w:pPr>
            <w:r>
              <w:t>2</w:t>
            </w:r>
            <w:r w:rsidR="000B6136">
              <w:t>2</w:t>
            </w:r>
            <w:r w:rsidR="007F6884" w:rsidRPr="00C67C65">
              <w:t xml:space="preserve">. Legal, regulatory, and contractual requirements - </w:t>
            </w:r>
            <w:r w:rsidR="00F60B5B" w:rsidRPr="00C67C65">
              <w:t>A.5.31</w:t>
            </w:r>
          </w:p>
          <w:p w14:paraId="0BAB3545" w14:textId="594D04B0" w:rsidR="00465023" w:rsidRPr="009A1C0A" w:rsidRDefault="00465023" w:rsidP="00F318AE">
            <w:pPr>
              <w:spacing w:line="480" w:lineRule="auto"/>
            </w:pPr>
            <w:r>
              <w:t>2</w:t>
            </w:r>
            <w:r w:rsidR="000B6136">
              <w:t>3</w:t>
            </w:r>
            <w:r>
              <w:t>. Confidentiality</w:t>
            </w:r>
            <w:r w:rsidR="00C44834">
              <w:t xml:space="preserve"> &amp;</w:t>
            </w:r>
            <w:r>
              <w:t xml:space="preserve"> Non-disclosure agreements for information security – A. 6.6 </w:t>
            </w:r>
          </w:p>
        </w:tc>
        <w:tc>
          <w:tcPr>
            <w:tcW w:w="8371" w:type="dxa"/>
          </w:tcPr>
          <w:p w14:paraId="22FE4DE9" w14:textId="10C34FD0" w:rsidR="007F6884" w:rsidRPr="00B8333C" w:rsidRDefault="007F6884" w:rsidP="007F6884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ind w:right="159"/>
              <w:rPr>
                <w:rFonts w:cs="Calibri"/>
              </w:rPr>
            </w:pPr>
          </w:p>
        </w:tc>
      </w:tr>
      <w:tr w:rsidR="007F6884" w:rsidRPr="00B8333C" w14:paraId="102DD5AB" w14:textId="77777777" w:rsidTr="00F318AE">
        <w:trPr>
          <w:jc w:val="center"/>
        </w:trPr>
        <w:tc>
          <w:tcPr>
            <w:tcW w:w="7083" w:type="dxa"/>
          </w:tcPr>
          <w:p w14:paraId="3CB09FC1" w14:textId="77777777" w:rsidR="007F6884" w:rsidRPr="00575C87" w:rsidRDefault="007F6884" w:rsidP="00F318AE">
            <w:pPr>
              <w:spacing w:line="480" w:lineRule="auto"/>
              <w:rPr>
                <w:b/>
              </w:rPr>
            </w:pPr>
            <w:r w:rsidRPr="00575C87">
              <w:rPr>
                <w:b/>
              </w:rPr>
              <w:t>Mandatory Records;</w:t>
            </w:r>
          </w:p>
          <w:p w14:paraId="33CFBCC3" w14:textId="1402ACC2" w:rsidR="006A17DB" w:rsidRPr="00575C87" w:rsidRDefault="000B6136" w:rsidP="00F318AE">
            <w:pPr>
              <w:spacing w:line="480" w:lineRule="auto"/>
            </w:pPr>
            <w:r>
              <w:t>24</w:t>
            </w:r>
            <w:r w:rsidR="007F6884" w:rsidRPr="00575C87">
              <w:t>. Records of training, skills, experience and qualifications</w:t>
            </w:r>
            <w:r w:rsidR="006A17DB">
              <w:t xml:space="preserve"> (Competence Evidence)</w:t>
            </w:r>
            <w:r w:rsidR="007F6884" w:rsidRPr="00575C87">
              <w:t xml:space="preserve"> -</w:t>
            </w:r>
          </w:p>
          <w:p w14:paraId="5B71F5E1" w14:textId="087E2B13" w:rsidR="007F6884" w:rsidRPr="00575C87" w:rsidRDefault="000B6136" w:rsidP="00F318AE">
            <w:pPr>
              <w:spacing w:line="480" w:lineRule="auto"/>
            </w:pPr>
            <w:r>
              <w:t>25</w:t>
            </w:r>
            <w:r w:rsidR="007F6884" w:rsidRPr="00575C87">
              <w:t>. Monitoring and measurement results - 9.1</w:t>
            </w:r>
          </w:p>
          <w:p w14:paraId="3DF2932D" w14:textId="3A6802D6" w:rsidR="007F6884" w:rsidRPr="00575C87" w:rsidRDefault="000B6136" w:rsidP="00F318AE">
            <w:pPr>
              <w:spacing w:line="480" w:lineRule="auto"/>
            </w:pPr>
            <w:r>
              <w:t>26</w:t>
            </w:r>
            <w:r w:rsidR="007F6884" w:rsidRPr="00575C87">
              <w:t>. Internal audit program - 9.2</w:t>
            </w:r>
          </w:p>
          <w:p w14:paraId="1E050868" w14:textId="52AE70FF" w:rsidR="007F6884" w:rsidRPr="00575C87" w:rsidRDefault="007F6884" w:rsidP="00F318AE">
            <w:pPr>
              <w:spacing w:line="480" w:lineRule="auto"/>
            </w:pPr>
            <w:r w:rsidRPr="00575C87">
              <w:t>2</w:t>
            </w:r>
            <w:r w:rsidR="00630A7C">
              <w:t>7</w:t>
            </w:r>
            <w:r w:rsidRPr="00575C87">
              <w:t>. Results of internal audits - 9.2</w:t>
            </w:r>
          </w:p>
          <w:p w14:paraId="42203634" w14:textId="6E3D531C" w:rsidR="007F6884" w:rsidRPr="00575C87" w:rsidRDefault="007F6884" w:rsidP="00F318AE">
            <w:pPr>
              <w:spacing w:line="480" w:lineRule="auto"/>
            </w:pPr>
            <w:r w:rsidRPr="00575C87">
              <w:t>2</w:t>
            </w:r>
            <w:r w:rsidR="007C3DA2">
              <w:t>8</w:t>
            </w:r>
            <w:r w:rsidRPr="00575C87">
              <w:t>. Results of the management review - 9.3</w:t>
            </w:r>
          </w:p>
          <w:p w14:paraId="68CC3A1C" w14:textId="3A768033" w:rsidR="007F6884" w:rsidRPr="00575C87" w:rsidRDefault="007F6884" w:rsidP="00F318AE">
            <w:pPr>
              <w:spacing w:line="480" w:lineRule="auto"/>
            </w:pPr>
            <w:r w:rsidRPr="00575C87">
              <w:t>2</w:t>
            </w:r>
            <w:r w:rsidR="007C3DA2">
              <w:t>9</w:t>
            </w:r>
            <w:r w:rsidRPr="00575C87">
              <w:t xml:space="preserve">. </w:t>
            </w:r>
            <w:proofErr w:type="gramStart"/>
            <w:r w:rsidR="00761468">
              <w:t>Non-conformities</w:t>
            </w:r>
            <w:proofErr w:type="gramEnd"/>
            <w:r w:rsidR="00761468">
              <w:t xml:space="preserve"> and </w:t>
            </w:r>
            <w:r w:rsidRPr="00575C87">
              <w:t>corrective actions - 10.</w:t>
            </w:r>
            <w:r w:rsidR="00761468">
              <w:t>2</w:t>
            </w:r>
          </w:p>
          <w:p w14:paraId="525C6F45" w14:textId="0F049F9B" w:rsidR="007F6884" w:rsidRPr="009A1C0A" w:rsidRDefault="007C3DA2" w:rsidP="00F318AE">
            <w:pPr>
              <w:spacing w:line="480" w:lineRule="auto"/>
            </w:pPr>
            <w:r>
              <w:t>30</w:t>
            </w:r>
            <w:r w:rsidR="007F6884" w:rsidRPr="00575C87">
              <w:t>. Logs of user activities, exceptions, and security events</w:t>
            </w:r>
            <w:r w:rsidR="009033FD">
              <w:t>, procedures for gathering evidence</w:t>
            </w:r>
            <w:r w:rsidR="007F6884" w:rsidRPr="00575C87">
              <w:t xml:space="preserve"> - A.</w:t>
            </w:r>
            <w:r w:rsidR="009033FD">
              <w:t xml:space="preserve">5.28, </w:t>
            </w:r>
            <w:r w:rsidR="00F53449">
              <w:t>8.15</w:t>
            </w:r>
          </w:p>
        </w:tc>
        <w:tc>
          <w:tcPr>
            <w:tcW w:w="8371" w:type="dxa"/>
          </w:tcPr>
          <w:p w14:paraId="209506AD" w14:textId="77777777" w:rsidR="007F6884" w:rsidRPr="00B8333C" w:rsidRDefault="007F6884" w:rsidP="005C3609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496ACB26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AE1ED7">
      <w:headerReference w:type="default" r:id="rId9"/>
      <w:footerReference w:type="default" r:id="rId10"/>
      <w:pgSz w:w="16838" w:h="11906" w:orient="landscape"/>
      <w:pgMar w:top="851" w:right="851" w:bottom="1276" w:left="85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FFA02" w14:textId="77777777" w:rsidR="00AE1ED7" w:rsidRDefault="00AE1ED7" w:rsidP="00697F83">
      <w:r>
        <w:separator/>
      </w:r>
    </w:p>
  </w:endnote>
  <w:endnote w:type="continuationSeparator" w:id="0">
    <w:p w14:paraId="73BF2930" w14:textId="77777777" w:rsidR="00AE1ED7" w:rsidRDefault="00AE1ED7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Content>
      <w:p w14:paraId="70C1248F" w14:textId="1FEADE3A" w:rsidR="00854E98" w:rsidRPr="00854E98" w:rsidRDefault="00854E98" w:rsidP="007F6884">
        <w:pPr>
          <w:pStyle w:val="Footer"/>
          <w:ind w:hanging="284"/>
          <w:jc w:val="right"/>
          <w:rPr>
            <w:rFonts w:ascii="Calibri" w:hAnsi="Calibri" w:cs="Calibri"/>
            <w:b/>
            <w:bCs/>
            <w:sz w:val="18"/>
            <w:szCs w:val="18"/>
          </w:rPr>
        </w:pPr>
      </w:p>
      <w:p w14:paraId="609AAD98" w14:textId="33BA1C63" w:rsidR="00854E98" w:rsidRPr="00854E98" w:rsidRDefault="00854E98" w:rsidP="007F6884">
        <w:pPr>
          <w:pStyle w:val="Footer"/>
          <w:pBdr>
            <w:top w:val="single" w:sz="4" w:space="1" w:color="auto"/>
          </w:pBdr>
          <w:ind w:left="-142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854E98">
          <w:rPr>
            <w:rFonts w:ascii="Calibri" w:hAnsi="Calibri" w:cs="Calibri"/>
            <w:b/>
            <w:sz w:val="18"/>
            <w:szCs w:val="18"/>
          </w:rPr>
          <w:t>F-Q2</w:t>
        </w:r>
        <w:r w:rsidRPr="00854E98">
          <w:rPr>
            <w:rFonts w:ascii="Calibri" w:hAnsi="Calibri" w:cs="Calibri"/>
            <w:sz w:val="18"/>
            <w:szCs w:val="18"/>
          </w:rPr>
          <w:t xml:space="preserve"> – </w:t>
        </w:r>
        <w:r w:rsidRPr="007320E0">
          <w:rPr>
            <w:rFonts w:ascii="Calibri" w:hAnsi="Calibri" w:cs="Calibri"/>
            <w:b/>
            <w:sz w:val="18"/>
            <w:szCs w:val="18"/>
          </w:rPr>
          <w:t xml:space="preserve">Audit </w:t>
        </w:r>
        <w:r w:rsidR="007F6884" w:rsidRPr="007320E0">
          <w:rPr>
            <w:rFonts w:ascii="Calibri" w:hAnsi="Calibri" w:cs="Calibri"/>
            <w:b/>
            <w:sz w:val="18"/>
            <w:szCs w:val="18"/>
          </w:rPr>
          <w:t xml:space="preserve">Checklist </w:t>
        </w:r>
        <w:r w:rsidR="007F6884" w:rsidRPr="00854E98">
          <w:rPr>
            <w:rFonts w:ascii="Calibri" w:hAnsi="Calibri" w:cs="Calibri"/>
            <w:sz w:val="18"/>
            <w:szCs w:val="18"/>
          </w:rPr>
          <w:t>[</w:t>
        </w:r>
        <w:r w:rsidRPr="00854E98">
          <w:rPr>
            <w:rFonts w:ascii="Calibri" w:hAnsi="Calibri" w:cs="Calibri"/>
            <w:sz w:val="18"/>
            <w:szCs w:val="18"/>
          </w:rPr>
          <w:t>issue 1]</w:t>
        </w:r>
        <w:r w:rsidRPr="00854E98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854E98">
          <w:rPr>
            <w:rFonts w:ascii="Calibri" w:hAnsi="Calibri" w:cs="Calibri"/>
            <w:sz w:val="18"/>
            <w:szCs w:val="18"/>
          </w:rPr>
          <w:t xml:space="preserve"> Page </w:t>
        </w:r>
        <w:r w:rsidRPr="00854E98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854E98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854E98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854E98">
          <w:rPr>
            <w:rFonts w:ascii="Calibri" w:hAnsi="Calibri" w:cs="Calibri"/>
            <w:b/>
            <w:sz w:val="18"/>
            <w:szCs w:val="18"/>
          </w:rPr>
          <w:t>1</w:t>
        </w:r>
        <w:r w:rsidRPr="00854E98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854E98">
          <w:rPr>
            <w:rFonts w:ascii="Calibri" w:hAnsi="Calibri" w:cs="Calibri"/>
            <w:sz w:val="18"/>
            <w:szCs w:val="18"/>
          </w:rPr>
          <w:t xml:space="preserve"> of </w:t>
        </w:r>
        <w:r w:rsidRPr="00854E98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854E98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854E98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854E98">
          <w:rPr>
            <w:rFonts w:ascii="Calibri" w:hAnsi="Calibri" w:cs="Calibri"/>
            <w:b/>
            <w:sz w:val="18"/>
            <w:szCs w:val="18"/>
          </w:rPr>
          <w:t>1</w:t>
        </w:r>
        <w:r w:rsidRPr="00854E98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12B853DB" w14:textId="1B6B57C5" w:rsidR="00AB2D6F" w:rsidRPr="00854E98" w:rsidRDefault="00854E98" w:rsidP="007F6884">
        <w:pPr>
          <w:pStyle w:val="Footer"/>
          <w:ind w:left="-142"/>
        </w:pPr>
        <w:r w:rsidRPr="00854E98">
          <w:rPr>
            <w:rFonts w:ascii="Calibri" w:hAnsi="Calibri" w:cs="Calibri"/>
            <w:b/>
            <w:sz w:val="18"/>
            <w:szCs w:val="18"/>
          </w:rPr>
          <w:t>[</w:t>
        </w:r>
        <w:r w:rsidRPr="00854E98">
          <w:rPr>
            <w:rFonts w:ascii="Calibri" w:hAnsi="Calibri" w:cs="Calibri"/>
            <w:sz w:val="18"/>
            <w:szCs w:val="18"/>
          </w:rPr>
          <w:t>Information Classification:</w:t>
        </w:r>
        <w:r w:rsidRPr="00854E98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0B37B" w14:textId="77777777" w:rsidR="00AE1ED7" w:rsidRDefault="00AE1ED7" w:rsidP="00697F83">
      <w:r>
        <w:separator/>
      </w:r>
    </w:p>
  </w:footnote>
  <w:footnote w:type="continuationSeparator" w:id="0">
    <w:p w14:paraId="006A030E" w14:textId="77777777" w:rsidR="00AE1ED7" w:rsidRDefault="00AE1ED7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FBF5" w14:textId="14D8FDEF" w:rsidR="0097783F" w:rsidRPr="007320E0" w:rsidRDefault="00854E98" w:rsidP="00C82338">
    <w:pPr>
      <w:pStyle w:val="Header"/>
      <w:ind w:left="-142" w:right="394"/>
      <w:jc w:val="right"/>
      <w:rPr>
        <w:rFonts w:ascii="Calibri" w:hAnsi="Calibri" w:cs="Calibri"/>
      </w:rPr>
    </w:pPr>
    <w:r w:rsidRPr="007320E0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24797063" wp14:editId="6F930163">
          <wp:simplePos x="0" y="0"/>
          <wp:positionH relativeFrom="column">
            <wp:posOffset>-104775</wp:posOffset>
          </wp:positionH>
          <wp:positionV relativeFrom="paragraph">
            <wp:posOffset>-170890</wp:posOffset>
          </wp:positionV>
          <wp:extent cx="571500" cy="3886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D1C" w:rsidRPr="007320E0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56A93"/>
    <w:multiLevelType w:val="multilevel"/>
    <w:tmpl w:val="1EF05B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A51A98"/>
    <w:multiLevelType w:val="hybridMultilevel"/>
    <w:tmpl w:val="D5EC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CAF"/>
    <w:multiLevelType w:val="hybridMultilevel"/>
    <w:tmpl w:val="379829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E0038"/>
    <w:multiLevelType w:val="hybridMultilevel"/>
    <w:tmpl w:val="5F8E2B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C621B1"/>
    <w:multiLevelType w:val="hybridMultilevel"/>
    <w:tmpl w:val="9118AD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1E5BE8"/>
    <w:multiLevelType w:val="hybridMultilevel"/>
    <w:tmpl w:val="24CC29F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61699"/>
    <w:multiLevelType w:val="hybridMultilevel"/>
    <w:tmpl w:val="5F8E2B7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584443"/>
    <w:multiLevelType w:val="hybridMultilevel"/>
    <w:tmpl w:val="1C9A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53209">
    <w:abstractNumId w:val="6"/>
  </w:num>
  <w:num w:numId="2" w16cid:durableId="298266385">
    <w:abstractNumId w:val="8"/>
  </w:num>
  <w:num w:numId="3" w16cid:durableId="337387898">
    <w:abstractNumId w:val="1"/>
  </w:num>
  <w:num w:numId="4" w16cid:durableId="1095370359">
    <w:abstractNumId w:val="0"/>
  </w:num>
  <w:num w:numId="5" w16cid:durableId="1724326100">
    <w:abstractNumId w:val="5"/>
  </w:num>
  <w:num w:numId="6" w16cid:durableId="1436944466">
    <w:abstractNumId w:val="2"/>
  </w:num>
  <w:num w:numId="7" w16cid:durableId="1345012377">
    <w:abstractNumId w:val="7"/>
  </w:num>
  <w:num w:numId="8" w16cid:durableId="450638577">
    <w:abstractNumId w:val="4"/>
  </w:num>
  <w:num w:numId="9" w16cid:durableId="1884635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42A25"/>
    <w:rsid w:val="00043244"/>
    <w:rsid w:val="000448C3"/>
    <w:rsid w:val="00046C02"/>
    <w:rsid w:val="0005209E"/>
    <w:rsid w:val="00053B4E"/>
    <w:rsid w:val="00067D48"/>
    <w:rsid w:val="0007423F"/>
    <w:rsid w:val="000967F9"/>
    <w:rsid w:val="0009702F"/>
    <w:rsid w:val="000A0FC6"/>
    <w:rsid w:val="000A1E7A"/>
    <w:rsid w:val="000B05FC"/>
    <w:rsid w:val="000B08FE"/>
    <w:rsid w:val="000B4EB6"/>
    <w:rsid w:val="000B6136"/>
    <w:rsid w:val="000C0CB6"/>
    <w:rsid w:val="000C7BF4"/>
    <w:rsid w:val="000D0BBE"/>
    <w:rsid w:val="000E3244"/>
    <w:rsid w:val="000E5D70"/>
    <w:rsid w:val="000E602A"/>
    <w:rsid w:val="000F4299"/>
    <w:rsid w:val="000F7AC5"/>
    <w:rsid w:val="001047BC"/>
    <w:rsid w:val="00120989"/>
    <w:rsid w:val="00120BD5"/>
    <w:rsid w:val="00130EAC"/>
    <w:rsid w:val="0013323B"/>
    <w:rsid w:val="00134705"/>
    <w:rsid w:val="00137EAD"/>
    <w:rsid w:val="00156E9E"/>
    <w:rsid w:val="00156F89"/>
    <w:rsid w:val="001674ED"/>
    <w:rsid w:val="00175B0A"/>
    <w:rsid w:val="00177056"/>
    <w:rsid w:val="00177FB5"/>
    <w:rsid w:val="00180A05"/>
    <w:rsid w:val="00195CAE"/>
    <w:rsid w:val="00196548"/>
    <w:rsid w:val="001A01EB"/>
    <w:rsid w:val="001A1A0B"/>
    <w:rsid w:val="001A378C"/>
    <w:rsid w:val="001A489B"/>
    <w:rsid w:val="001C0CBD"/>
    <w:rsid w:val="001C596A"/>
    <w:rsid w:val="001C6286"/>
    <w:rsid w:val="001C7B8C"/>
    <w:rsid w:val="001D0B56"/>
    <w:rsid w:val="001E4E7C"/>
    <w:rsid w:val="001E64B5"/>
    <w:rsid w:val="001F3B9F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A49A2"/>
    <w:rsid w:val="002A5DFB"/>
    <w:rsid w:val="002B1BB0"/>
    <w:rsid w:val="002B474D"/>
    <w:rsid w:val="002C077D"/>
    <w:rsid w:val="002C3014"/>
    <w:rsid w:val="002C54ED"/>
    <w:rsid w:val="002D2CD5"/>
    <w:rsid w:val="002D3AED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57389"/>
    <w:rsid w:val="00357C13"/>
    <w:rsid w:val="00362F04"/>
    <w:rsid w:val="003724F9"/>
    <w:rsid w:val="00393CFB"/>
    <w:rsid w:val="003966F8"/>
    <w:rsid w:val="003A00FB"/>
    <w:rsid w:val="003A5093"/>
    <w:rsid w:val="003B0AFF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14A3D"/>
    <w:rsid w:val="0042115F"/>
    <w:rsid w:val="00421CB5"/>
    <w:rsid w:val="00423F4C"/>
    <w:rsid w:val="0042765A"/>
    <w:rsid w:val="004400F9"/>
    <w:rsid w:val="00440883"/>
    <w:rsid w:val="00450A12"/>
    <w:rsid w:val="00455B00"/>
    <w:rsid w:val="00460873"/>
    <w:rsid w:val="00465023"/>
    <w:rsid w:val="004660F4"/>
    <w:rsid w:val="00466D3E"/>
    <w:rsid w:val="00467932"/>
    <w:rsid w:val="0047720F"/>
    <w:rsid w:val="004A247C"/>
    <w:rsid w:val="004A5BE1"/>
    <w:rsid w:val="004B075D"/>
    <w:rsid w:val="004B0B00"/>
    <w:rsid w:val="004B3647"/>
    <w:rsid w:val="004C0664"/>
    <w:rsid w:val="004C4EDC"/>
    <w:rsid w:val="004D0F44"/>
    <w:rsid w:val="004D16AC"/>
    <w:rsid w:val="004D3564"/>
    <w:rsid w:val="004D50BF"/>
    <w:rsid w:val="004E2BC8"/>
    <w:rsid w:val="004E3408"/>
    <w:rsid w:val="004E3C86"/>
    <w:rsid w:val="004E455E"/>
    <w:rsid w:val="004F512D"/>
    <w:rsid w:val="004F70E8"/>
    <w:rsid w:val="004F7B36"/>
    <w:rsid w:val="00503CA5"/>
    <w:rsid w:val="00505606"/>
    <w:rsid w:val="00506BA0"/>
    <w:rsid w:val="005075A7"/>
    <w:rsid w:val="00511185"/>
    <w:rsid w:val="00521D29"/>
    <w:rsid w:val="00527EBA"/>
    <w:rsid w:val="0053056F"/>
    <w:rsid w:val="00530F12"/>
    <w:rsid w:val="005373A1"/>
    <w:rsid w:val="00537727"/>
    <w:rsid w:val="00540E3C"/>
    <w:rsid w:val="00544B7D"/>
    <w:rsid w:val="00550C9F"/>
    <w:rsid w:val="0055366B"/>
    <w:rsid w:val="00557061"/>
    <w:rsid w:val="0056094E"/>
    <w:rsid w:val="00565496"/>
    <w:rsid w:val="00576C72"/>
    <w:rsid w:val="00580242"/>
    <w:rsid w:val="005848C5"/>
    <w:rsid w:val="00585CA9"/>
    <w:rsid w:val="005905FE"/>
    <w:rsid w:val="00591547"/>
    <w:rsid w:val="00592072"/>
    <w:rsid w:val="00593F5A"/>
    <w:rsid w:val="005A0ACC"/>
    <w:rsid w:val="005A2DC3"/>
    <w:rsid w:val="005A3905"/>
    <w:rsid w:val="005B7C04"/>
    <w:rsid w:val="005C0F60"/>
    <w:rsid w:val="005C283D"/>
    <w:rsid w:val="005C3609"/>
    <w:rsid w:val="005C5A73"/>
    <w:rsid w:val="005C5CB8"/>
    <w:rsid w:val="005D6F4C"/>
    <w:rsid w:val="005E3895"/>
    <w:rsid w:val="005F68F0"/>
    <w:rsid w:val="006050E1"/>
    <w:rsid w:val="00605FAA"/>
    <w:rsid w:val="00610DF1"/>
    <w:rsid w:val="006172C0"/>
    <w:rsid w:val="00624338"/>
    <w:rsid w:val="00626665"/>
    <w:rsid w:val="00630370"/>
    <w:rsid w:val="00630A7C"/>
    <w:rsid w:val="00632E3C"/>
    <w:rsid w:val="00641111"/>
    <w:rsid w:val="0064662E"/>
    <w:rsid w:val="00651E1F"/>
    <w:rsid w:val="00652839"/>
    <w:rsid w:val="006614E2"/>
    <w:rsid w:val="00663416"/>
    <w:rsid w:val="0066612A"/>
    <w:rsid w:val="00675E1C"/>
    <w:rsid w:val="0068205D"/>
    <w:rsid w:val="0068719C"/>
    <w:rsid w:val="006967AC"/>
    <w:rsid w:val="006971B2"/>
    <w:rsid w:val="00697F83"/>
    <w:rsid w:val="006A17DB"/>
    <w:rsid w:val="006A41D4"/>
    <w:rsid w:val="006A75B5"/>
    <w:rsid w:val="006B52A6"/>
    <w:rsid w:val="006B5A5B"/>
    <w:rsid w:val="006B6F1E"/>
    <w:rsid w:val="006C2748"/>
    <w:rsid w:val="006C7467"/>
    <w:rsid w:val="006D0AAE"/>
    <w:rsid w:val="006D2D1C"/>
    <w:rsid w:val="006D4830"/>
    <w:rsid w:val="006D59F7"/>
    <w:rsid w:val="006D5C47"/>
    <w:rsid w:val="006E1A1A"/>
    <w:rsid w:val="006E53A9"/>
    <w:rsid w:val="006F34A2"/>
    <w:rsid w:val="00703BC5"/>
    <w:rsid w:val="00704FB2"/>
    <w:rsid w:val="007105B5"/>
    <w:rsid w:val="00717ED4"/>
    <w:rsid w:val="00726F78"/>
    <w:rsid w:val="007320E0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61468"/>
    <w:rsid w:val="0077453E"/>
    <w:rsid w:val="00774FA3"/>
    <w:rsid w:val="00776E95"/>
    <w:rsid w:val="007846DB"/>
    <w:rsid w:val="00790505"/>
    <w:rsid w:val="0079515F"/>
    <w:rsid w:val="00795F87"/>
    <w:rsid w:val="00796399"/>
    <w:rsid w:val="007A424B"/>
    <w:rsid w:val="007A6636"/>
    <w:rsid w:val="007C0461"/>
    <w:rsid w:val="007C3DA2"/>
    <w:rsid w:val="007D4458"/>
    <w:rsid w:val="007D72A7"/>
    <w:rsid w:val="007E0F51"/>
    <w:rsid w:val="007E1BEB"/>
    <w:rsid w:val="007E43C1"/>
    <w:rsid w:val="007E5E14"/>
    <w:rsid w:val="007F0B02"/>
    <w:rsid w:val="007F6884"/>
    <w:rsid w:val="0080303B"/>
    <w:rsid w:val="008045B6"/>
    <w:rsid w:val="00820B89"/>
    <w:rsid w:val="00821159"/>
    <w:rsid w:val="00825ABD"/>
    <w:rsid w:val="0083392A"/>
    <w:rsid w:val="00834BFE"/>
    <w:rsid w:val="00845A45"/>
    <w:rsid w:val="00852BCB"/>
    <w:rsid w:val="00854E98"/>
    <w:rsid w:val="00864F1F"/>
    <w:rsid w:val="008655F2"/>
    <w:rsid w:val="0087012F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E54C3"/>
    <w:rsid w:val="008F1913"/>
    <w:rsid w:val="008F27CA"/>
    <w:rsid w:val="008F5DF0"/>
    <w:rsid w:val="00900223"/>
    <w:rsid w:val="009033FD"/>
    <w:rsid w:val="00910BC7"/>
    <w:rsid w:val="00911437"/>
    <w:rsid w:val="00911D25"/>
    <w:rsid w:val="00911E5B"/>
    <w:rsid w:val="009202BF"/>
    <w:rsid w:val="0093415F"/>
    <w:rsid w:val="00934E2F"/>
    <w:rsid w:val="0094060F"/>
    <w:rsid w:val="0096098C"/>
    <w:rsid w:val="00965B3B"/>
    <w:rsid w:val="0097783F"/>
    <w:rsid w:val="009856CA"/>
    <w:rsid w:val="00986592"/>
    <w:rsid w:val="00995514"/>
    <w:rsid w:val="009A1C0A"/>
    <w:rsid w:val="009A3618"/>
    <w:rsid w:val="009A5C90"/>
    <w:rsid w:val="009B18DD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61546"/>
    <w:rsid w:val="00A6281C"/>
    <w:rsid w:val="00A66105"/>
    <w:rsid w:val="00A91936"/>
    <w:rsid w:val="00A9250A"/>
    <w:rsid w:val="00A96470"/>
    <w:rsid w:val="00AA3C80"/>
    <w:rsid w:val="00AA6401"/>
    <w:rsid w:val="00AB238B"/>
    <w:rsid w:val="00AB2D6F"/>
    <w:rsid w:val="00AE1ED7"/>
    <w:rsid w:val="00AE23A3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3081F"/>
    <w:rsid w:val="00B3092E"/>
    <w:rsid w:val="00B3171B"/>
    <w:rsid w:val="00B53426"/>
    <w:rsid w:val="00B5798D"/>
    <w:rsid w:val="00B645B0"/>
    <w:rsid w:val="00B65E67"/>
    <w:rsid w:val="00B66951"/>
    <w:rsid w:val="00B70FE9"/>
    <w:rsid w:val="00B8333C"/>
    <w:rsid w:val="00B8503E"/>
    <w:rsid w:val="00B910A3"/>
    <w:rsid w:val="00B93066"/>
    <w:rsid w:val="00B93F97"/>
    <w:rsid w:val="00B953C3"/>
    <w:rsid w:val="00BA12A4"/>
    <w:rsid w:val="00BA2F6A"/>
    <w:rsid w:val="00BA5B18"/>
    <w:rsid w:val="00BC1189"/>
    <w:rsid w:val="00BD0542"/>
    <w:rsid w:val="00BD196B"/>
    <w:rsid w:val="00BD71DC"/>
    <w:rsid w:val="00BD7854"/>
    <w:rsid w:val="00BF5B61"/>
    <w:rsid w:val="00C02EC2"/>
    <w:rsid w:val="00C03570"/>
    <w:rsid w:val="00C05506"/>
    <w:rsid w:val="00C23786"/>
    <w:rsid w:val="00C301CA"/>
    <w:rsid w:val="00C3050C"/>
    <w:rsid w:val="00C30BDF"/>
    <w:rsid w:val="00C336E3"/>
    <w:rsid w:val="00C441E6"/>
    <w:rsid w:val="00C44834"/>
    <w:rsid w:val="00C67C65"/>
    <w:rsid w:val="00C800C4"/>
    <w:rsid w:val="00C82338"/>
    <w:rsid w:val="00C911E4"/>
    <w:rsid w:val="00C9452B"/>
    <w:rsid w:val="00C97C04"/>
    <w:rsid w:val="00CA1682"/>
    <w:rsid w:val="00CB04DF"/>
    <w:rsid w:val="00CB09DB"/>
    <w:rsid w:val="00CB167F"/>
    <w:rsid w:val="00CB2865"/>
    <w:rsid w:val="00CB2BA2"/>
    <w:rsid w:val="00CB4A1C"/>
    <w:rsid w:val="00CB6A66"/>
    <w:rsid w:val="00CC0943"/>
    <w:rsid w:val="00CC5C78"/>
    <w:rsid w:val="00CD0A64"/>
    <w:rsid w:val="00CD13E8"/>
    <w:rsid w:val="00CE3527"/>
    <w:rsid w:val="00CE7470"/>
    <w:rsid w:val="00CF0227"/>
    <w:rsid w:val="00CF3BE1"/>
    <w:rsid w:val="00D035E0"/>
    <w:rsid w:val="00D0576F"/>
    <w:rsid w:val="00D06709"/>
    <w:rsid w:val="00D06EDB"/>
    <w:rsid w:val="00D10BF2"/>
    <w:rsid w:val="00D11485"/>
    <w:rsid w:val="00D17BEE"/>
    <w:rsid w:val="00D20F30"/>
    <w:rsid w:val="00D24201"/>
    <w:rsid w:val="00D41F79"/>
    <w:rsid w:val="00D42136"/>
    <w:rsid w:val="00D44E35"/>
    <w:rsid w:val="00D61668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5E15"/>
    <w:rsid w:val="00DD35F6"/>
    <w:rsid w:val="00DD75FD"/>
    <w:rsid w:val="00DE202F"/>
    <w:rsid w:val="00DE62A7"/>
    <w:rsid w:val="00DF6DBD"/>
    <w:rsid w:val="00DF74DB"/>
    <w:rsid w:val="00E05D7D"/>
    <w:rsid w:val="00E1138F"/>
    <w:rsid w:val="00E13BD4"/>
    <w:rsid w:val="00E176BB"/>
    <w:rsid w:val="00E23E4E"/>
    <w:rsid w:val="00E32CC0"/>
    <w:rsid w:val="00E43141"/>
    <w:rsid w:val="00E57182"/>
    <w:rsid w:val="00E6090C"/>
    <w:rsid w:val="00E62852"/>
    <w:rsid w:val="00E62A6C"/>
    <w:rsid w:val="00E63968"/>
    <w:rsid w:val="00E63A3E"/>
    <w:rsid w:val="00E77D86"/>
    <w:rsid w:val="00E80418"/>
    <w:rsid w:val="00E830FD"/>
    <w:rsid w:val="00E93CE6"/>
    <w:rsid w:val="00E96081"/>
    <w:rsid w:val="00E97C4F"/>
    <w:rsid w:val="00EA14E7"/>
    <w:rsid w:val="00EA40A3"/>
    <w:rsid w:val="00EB0509"/>
    <w:rsid w:val="00EC40DD"/>
    <w:rsid w:val="00ED65F0"/>
    <w:rsid w:val="00ED68E4"/>
    <w:rsid w:val="00EE0D01"/>
    <w:rsid w:val="00EE1F6A"/>
    <w:rsid w:val="00EF2B96"/>
    <w:rsid w:val="00EF39EF"/>
    <w:rsid w:val="00F0185D"/>
    <w:rsid w:val="00F0448C"/>
    <w:rsid w:val="00F07C16"/>
    <w:rsid w:val="00F120DD"/>
    <w:rsid w:val="00F12ECB"/>
    <w:rsid w:val="00F17041"/>
    <w:rsid w:val="00F20324"/>
    <w:rsid w:val="00F2243D"/>
    <w:rsid w:val="00F2486C"/>
    <w:rsid w:val="00F276D6"/>
    <w:rsid w:val="00F318AE"/>
    <w:rsid w:val="00F3362C"/>
    <w:rsid w:val="00F41D6D"/>
    <w:rsid w:val="00F4315C"/>
    <w:rsid w:val="00F521D9"/>
    <w:rsid w:val="00F5231B"/>
    <w:rsid w:val="00F53449"/>
    <w:rsid w:val="00F60B5B"/>
    <w:rsid w:val="00F618F6"/>
    <w:rsid w:val="00F650F4"/>
    <w:rsid w:val="00F65646"/>
    <w:rsid w:val="00F83551"/>
    <w:rsid w:val="00F91D13"/>
    <w:rsid w:val="00F92742"/>
    <w:rsid w:val="00F94DFB"/>
    <w:rsid w:val="00F9560C"/>
    <w:rsid w:val="00F96EDA"/>
    <w:rsid w:val="00FA0633"/>
    <w:rsid w:val="00FA1BAB"/>
    <w:rsid w:val="00FC34DC"/>
    <w:rsid w:val="00FC3E53"/>
    <w:rsid w:val="00FC5EF8"/>
    <w:rsid w:val="00FC7627"/>
    <w:rsid w:val="00FD6ADD"/>
    <w:rsid w:val="00FD7A5F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E1775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D035E0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035E0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D035E0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customStyle="1" w:styleId="hyperlinkorange">
    <w:name w:val="hyperlink orange"/>
    <w:basedOn w:val="Normal"/>
    <w:link w:val="hyperlinkorangeChar"/>
    <w:qFormat/>
    <w:rsid w:val="00D035E0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D035E0"/>
    <w:rPr>
      <w:rFonts w:ascii="Calibri" w:hAnsi="Calibri" w:cstheme="minorHAnsi"/>
      <w:b/>
      <w:color w:val="FF6633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035E0"/>
    <w:pPr>
      <w:ind w:left="720"/>
      <w:contextualSpacing/>
    </w:pPr>
  </w:style>
  <w:style w:type="paragraph" w:customStyle="1" w:styleId="MNC">
    <w:name w:val="MNC"/>
    <w:basedOn w:val="Normal"/>
    <w:qFormat/>
    <w:rsid w:val="00D035E0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D035E0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D035E0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D035E0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D035E0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D035E0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D035E0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D035E0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D035E0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D035E0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D035E0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D035E0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D035E0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D035E0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D035E0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-c-iso27001-documentation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>isoassured ltd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©2023 isoassured Ltd. This template only for the use of isoassured clients, approved consultants and alphaZ document licence holders. This file was issued to isomanaged.com</dc:description>
  <cp:lastModifiedBy>rhyan</cp:lastModifiedBy>
  <cp:revision>5</cp:revision>
  <cp:lastPrinted>2017-05-03T14:19:00Z</cp:lastPrinted>
  <dcterms:created xsi:type="dcterms:W3CDTF">2023-05-09T13:39:00Z</dcterms:created>
  <dcterms:modified xsi:type="dcterms:W3CDTF">2024-04-22T11:41:00Z</dcterms:modified>
  <cp:contentStatus>26-10-2023</cp:contentStatus>
</cp:coreProperties>
</file>